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B19633">
      <w:pPr>
        <w:spacing w:line="360" w:lineRule="auto"/>
        <w:jc w:val="left"/>
        <w:rPr>
          <w:rFonts w:ascii="黑体" w:hAnsi="黑体" w:eastAsia="黑体" w:cs="黑体"/>
          <w:sz w:val="32"/>
          <w:szCs w:val="32"/>
        </w:rPr>
      </w:pPr>
    </w:p>
    <w:p w14:paraId="5A4B7A92">
      <w:pPr>
        <w:spacing w:line="360" w:lineRule="auto"/>
        <w:jc w:val="center"/>
        <w:outlineLvl w:val="0"/>
        <w:rPr>
          <w:rFonts w:hint="eastAsia" w:ascii="黑体" w:hAnsi="黑体" w:eastAsia="黑体" w:cs="黑体"/>
          <w:sz w:val="36"/>
          <w:szCs w:val="36"/>
        </w:rPr>
      </w:pPr>
      <w:r>
        <w:rPr>
          <w:rFonts w:hint="eastAsia" w:ascii="黑体" w:hAnsi="黑体" w:eastAsia="黑体" w:cs="黑体"/>
          <w:sz w:val="36"/>
          <w:szCs w:val="36"/>
        </w:rPr>
        <w:t>深圳市</w:t>
      </w:r>
      <w:r>
        <w:rPr>
          <w:rFonts w:hint="eastAsia" w:ascii="黑体" w:hAnsi="黑体" w:eastAsia="黑体" w:cs="黑体"/>
          <w:sz w:val="36"/>
          <w:szCs w:val="36"/>
          <w:lang w:val="en-US" w:eastAsia="zh-CN"/>
        </w:rPr>
        <w:t>盐田</w:t>
      </w:r>
      <w:r>
        <w:rPr>
          <w:rFonts w:hint="eastAsia" w:ascii="黑体" w:hAnsi="黑体" w:eastAsia="黑体" w:cs="黑体"/>
          <w:sz w:val="36"/>
          <w:szCs w:val="36"/>
        </w:rPr>
        <w:t>区建设工程中午或者夜间施工作业证明</w:t>
      </w:r>
    </w:p>
    <w:p w14:paraId="644532A3">
      <w:pPr>
        <w:spacing w:before="120" w:after="200" w:line="240" w:lineRule="auto"/>
        <w:ind w:right="-86" w:rightChars="-27"/>
        <w:jc w:val="right"/>
        <w:rPr>
          <w:rFonts w:ascii="仿宋_GB2312" w:hAnsi="仿宋_GB2312" w:eastAsia="仿宋_GB2312" w:cs="仿宋_GB2312"/>
          <w:kern w:val="0"/>
          <w:sz w:val="21"/>
          <w:szCs w:val="21"/>
        </w:rPr>
      </w:pPr>
      <w:r>
        <w:rPr>
          <w:rFonts w:hint="eastAsia" w:ascii="仿宋_GB2312" w:hAnsi="仿宋_GB2312" w:eastAsia="仿宋_GB2312" w:cs="仿宋_GB2312"/>
          <w:kern w:val="0"/>
          <w:sz w:val="21"/>
          <w:szCs w:val="21"/>
        </w:rPr>
        <w:t>证书编号：</w:t>
      </w:r>
      <w:r>
        <w:rPr>
          <w:rFonts w:hint="eastAsia" w:ascii="仿宋_GB2312" w:hAnsi="仿宋_GB2312" w:cs="仿宋_GB2312"/>
          <w:kern w:val="0"/>
          <w:sz w:val="21"/>
          <w:szCs w:val="21"/>
          <w:lang w:val="en-US" w:eastAsia="zh-CN"/>
        </w:rPr>
        <w:t>盐田</w:t>
      </w:r>
      <w:r>
        <w:rPr>
          <w:rFonts w:hint="eastAsia" w:ascii="仿宋_GB2312" w:hAnsi="仿宋_GB2312" w:eastAsia="仿宋_GB2312" w:cs="仿宋_GB2312"/>
          <w:kern w:val="0"/>
          <w:sz w:val="21"/>
          <w:szCs w:val="21"/>
        </w:rPr>
        <w:t>区202</w:t>
      </w:r>
      <w:r>
        <w:rPr>
          <w:rFonts w:hint="eastAsia" w:ascii="仿宋_GB2312" w:hAnsi="仿宋_GB2312" w:cs="仿宋_GB2312"/>
          <w:kern w:val="0"/>
          <w:sz w:val="21"/>
          <w:szCs w:val="21"/>
          <w:lang w:val="en-US" w:eastAsia="zh-CN"/>
        </w:rPr>
        <w:t>5</w:t>
      </w:r>
      <w:r>
        <w:rPr>
          <w:rFonts w:hint="eastAsia" w:ascii="仿宋_GB2312" w:hAnsi="仿宋_GB2312" w:eastAsia="仿宋_GB2312" w:cs="仿宋_GB2312"/>
          <w:kern w:val="0"/>
          <w:sz w:val="21"/>
          <w:szCs w:val="21"/>
        </w:rPr>
        <w:t>-</w:t>
      </w:r>
      <w:r>
        <w:rPr>
          <w:rFonts w:hint="eastAsia" w:ascii="仿宋_GB2312" w:hAnsi="仿宋_GB2312" w:cs="仿宋_GB2312"/>
          <w:kern w:val="0"/>
          <w:sz w:val="21"/>
          <w:szCs w:val="21"/>
          <w:lang w:val="en-US" w:eastAsia="zh-CN"/>
        </w:rPr>
        <w:t>391</w:t>
      </w:r>
      <w:r>
        <w:rPr>
          <w:rFonts w:hint="eastAsia" w:ascii="仿宋_GB2312" w:hAnsi="仿宋_GB2312" w:eastAsia="仿宋_GB2312" w:cs="仿宋_GB2312"/>
          <w:kern w:val="0"/>
          <w:sz w:val="21"/>
          <w:szCs w:val="21"/>
        </w:rPr>
        <w:t>号</w:t>
      </w:r>
    </w:p>
    <w:tbl>
      <w:tblPr>
        <w:tblStyle w:val="9"/>
        <w:tblW w:w="8364" w:type="dxa"/>
        <w:tblInd w:w="10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42"/>
        <w:gridCol w:w="2953"/>
        <w:gridCol w:w="2268"/>
        <w:gridCol w:w="1701"/>
      </w:tblGrid>
      <w:tr w14:paraId="042A0E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365C496">
            <w:pPr>
              <w:widowControl/>
              <w:spacing w:line="240" w:lineRule="auto"/>
              <w:jc w:val="center"/>
              <w:rPr>
                <w:rFonts w:hint="eastAsia"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lang w:val="en-US" w:eastAsia="zh-CN"/>
              </w:rPr>
              <w:t>工程名称</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858DF0F">
            <w:pPr>
              <w:spacing w:line="240" w:lineRule="auto"/>
              <w:rPr>
                <w:rFonts w:hint="default" w:ascii="仿宋_GB2312" w:hAnsi="仿宋_GB2312" w:eastAsia="仿宋_GB2312" w:cs="仿宋_GB2312"/>
                <w:kern w:val="0"/>
                <w:sz w:val="24"/>
                <w:szCs w:val="24"/>
                <w:lang w:val="en-US" w:eastAsia="zh-CN"/>
              </w:rPr>
            </w:pPr>
            <w:r>
              <w:rPr>
                <w:rFonts w:hint="default" w:ascii="仿宋_GB2312" w:hAnsi="仿宋_GB2312" w:eastAsia="仿宋_GB2312" w:cs="仿宋_GB2312"/>
                <w:kern w:val="0"/>
                <w:sz w:val="24"/>
                <w:szCs w:val="24"/>
                <w:lang w:val="en-US" w:eastAsia="zh-CN"/>
              </w:rPr>
              <w:t>驭海隽府一期</w:t>
            </w:r>
            <w:r>
              <w:rPr>
                <w:rFonts w:hint="eastAsia" w:ascii="仿宋_GB2312" w:hAnsi="仿宋_GB2312" w:cs="仿宋_GB2312"/>
                <w:kern w:val="0"/>
                <w:sz w:val="24"/>
                <w:szCs w:val="24"/>
                <w:lang w:val="en-US" w:eastAsia="zh-CN"/>
              </w:rPr>
              <w:t>一</w:t>
            </w:r>
            <w:r>
              <w:rPr>
                <w:rFonts w:hint="default" w:ascii="仿宋_GB2312" w:hAnsi="仿宋_GB2312" w:eastAsia="仿宋_GB2312" w:cs="仿宋_GB2312"/>
                <w:kern w:val="0"/>
                <w:sz w:val="24"/>
                <w:szCs w:val="24"/>
                <w:lang w:val="en-US" w:eastAsia="zh-CN"/>
              </w:rPr>
              <w:t>标段施工总承包工程</w:t>
            </w:r>
          </w:p>
        </w:tc>
      </w:tr>
      <w:tr w14:paraId="69C1F8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14F7A5F">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建设单位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A5ECCF5">
            <w:pPr>
              <w:spacing w:line="240" w:lineRule="auto"/>
              <w:rPr>
                <w:rFonts w:hint="default" w:ascii="仿宋_GB2312" w:hAnsi="仿宋_GB2312" w:eastAsia="仿宋_GB2312" w:cs="仿宋_GB2312"/>
                <w:kern w:val="0"/>
                <w:sz w:val="24"/>
                <w:szCs w:val="24"/>
                <w:lang w:val="en-US"/>
              </w:rPr>
            </w:pPr>
            <w:r>
              <w:rPr>
                <w:rFonts w:hint="eastAsia" w:ascii="仿宋_GB2312" w:hAnsi="仿宋_GB2312" w:cs="仿宋_GB2312"/>
                <w:kern w:val="0"/>
                <w:sz w:val="24"/>
                <w:szCs w:val="24"/>
                <w:lang w:val="en-US" w:eastAsia="zh-CN"/>
              </w:rPr>
              <w:t>深圳市盛世盈丰投资发展有限公司</w:t>
            </w:r>
          </w:p>
        </w:tc>
      </w:tr>
      <w:tr w14:paraId="0799AF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A7F4EA8">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监理单位</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A5F115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深圳市竣迪建设监理有限公司</w:t>
            </w:r>
          </w:p>
        </w:tc>
      </w:tr>
      <w:tr w14:paraId="1A976B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55FD73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施工单位</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09A9D749">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连云港利骏建筑工程有限公司</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6B441C6F">
            <w:pPr>
              <w:spacing w:line="240" w:lineRule="auto"/>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统一社会信用代码</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50C03A0C">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91</w:t>
            </w:r>
            <w:r>
              <w:rPr>
                <w:rFonts w:hint="eastAsia" w:ascii="仿宋_GB2312" w:hAnsi="仿宋_GB2312" w:cs="仿宋_GB2312"/>
                <w:kern w:val="0"/>
                <w:sz w:val="24"/>
                <w:szCs w:val="24"/>
                <w:lang w:val="en-US" w:eastAsia="zh-CN"/>
              </w:rPr>
              <w:t>3204127764218065</w:t>
            </w:r>
          </w:p>
        </w:tc>
      </w:tr>
      <w:tr w14:paraId="3DEDDF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F1C837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施工地址</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EA4FB34">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eastAsia="仿宋_GB2312" w:cs="仿宋_GB2312"/>
                <w:kern w:val="0"/>
                <w:sz w:val="24"/>
                <w:szCs w:val="24"/>
              </w:rPr>
              <w:t>深圳市盐田区</w:t>
            </w:r>
            <w:r>
              <w:rPr>
                <w:rFonts w:hint="eastAsia" w:ascii="仿宋_GB2312" w:hAnsi="仿宋_GB2312" w:cs="仿宋_GB2312"/>
                <w:kern w:val="0"/>
                <w:sz w:val="24"/>
                <w:szCs w:val="24"/>
                <w:lang w:val="en-US" w:eastAsia="zh-CN"/>
              </w:rPr>
              <w:t>海山街道海涛路58号</w:t>
            </w:r>
          </w:p>
        </w:tc>
      </w:tr>
      <w:tr w14:paraId="790A68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7D7668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施工阶段</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0D20E4">
            <w:pPr>
              <w:spacing w:line="240" w:lineRule="auto"/>
              <w:rPr>
                <w:rFonts w:hint="eastAsia" w:ascii="仿宋_GB2312" w:hAnsi="仿宋_GB2312" w:eastAsia="仿宋_GB2312" w:cs="仿宋_GB2312"/>
                <w:kern w:val="0"/>
                <w:sz w:val="24"/>
                <w:szCs w:val="24"/>
                <w:lang w:eastAsia="zh-CN"/>
              </w:rPr>
            </w:pPr>
            <w:r>
              <w:rPr>
                <w:rFonts w:hint="eastAsia" w:ascii="仿宋_GB2312" w:hAnsi="仿宋_GB2312" w:cs="仿宋_GB2312"/>
                <w:kern w:val="0"/>
                <w:sz w:val="24"/>
                <w:szCs w:val="24"/>
                <w:lang w:eastAsia="zh-CN"/>
              </w:rPr>
              <w:t>主体</w:t>
            </w:r>
            <w:r>
              <w:rPr>
                <w:rFonts w:hint="eastAsia" w:ascii="仿宋_GB2312" w:hAnsi="仿宋_GB2312" w:cs="仿宋_GB2312"/>
                <w:kern w:val="0"/>
                <w:sz w:val="24"/>
                <w:szCs w:val="24"/>
                <w:lang w:val="en-US" w:eastAsia="zh-CN"/>
              </w:rPr>
              <w:t>工程</w:t>
            </w:r>
            <w:r>
              <w:rPr>
                <w:rFonts w:hint="eastAsia" w:ascii="仿宋_GB2312" w:hAnsi="仿宋_GB2312" w:cs="仿宋_GB2312"/>
                <w:kern w:val="0"/>
                <w:sz w:val="24"/>
                <w:szCs w:val="24"/>
                <w:lang w:eastAsia="zh-CN"/>
              </w:rPr>
              <w:t>施工阶段</w:t>
            </w:r>
          </w:p>
        </w:tc>
      </w:tr>
      <w:tr w14:paraId="290BB7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DB147E6">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作业内容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D60FE97">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6栋负二层顶板混凝土</w:t>
            </w:r>
            <w:r>
              <w:rPr>
                <w:rFonts w:hint="eastAsia" w:ascii="仿宋_GB2312" w:hAnsi="仿宋_GB2312" w:cs="仿宋_GB2312"/>
                <w:kern w:val="0"/>
                <w:sz w:val="24"/>
                <w:szCs w:val="24"/>
                <w:lang w:eastAsia="zh-CN"/>
              </w:rPr>
              <w:t>浇筑</w:t>
            </w:r>
            <w:r>
              <w:rPr>
                <w:rFonts w:hint="eastAsia" w:ascii="仿宋_GB2312" w:hAnsi="仿宋_GB2312" w:eastAsia="仿宋_GB2312" w:cs="仿宋_GB2312"/>
                <w:kern w:val="0"/>
                <w:sz w:val="24"/>
                <w:szCs w:val="24"/>
              </w:rPr>
              <w:t>，浇灌方量约</w:t>
            </w:r>
            <w:r>
              <w:rPr>
                <w:rFonts w:hint="eastAsia" w:ascii="仿宋_GB2312" w:hAnsi="仿宋_GB2312" w:cs="仿宋_GB2312"/>
                <w:kern w:val="0"/>
                <w:sz w:val="24"/>
                <w:szCs w:val="24"/>
                <w:lang w:val="en-US" w:eastAsia="zh-CN"/>
              </w:rPr>
              <w:t>1350</w:t>
            </w:r>
            <w:r>
              <w:rPr>
                <w:rFonts w:hint="eastAsia" w:ascii="仿宋_GB2312" w:hAnsi="仿宋_GB2312" w:eastAsia="仿宋_GB2312" w:cs="仿宋_GB2312"/>
                <w:kern w:val="0"/>
                <w:sz w:val="24"/>
                <w:szCs w:val="24"/>
              </w:rPr>
              <w:t>立方。</w:t>
            </w:r>
          </w:p>
        </w:tc>
      </w:tr>
      <w:tr w14:paraId="5F83F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B77C9B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作业方式</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2ABF363F">
            <w:pPr>
              <w:spacing w:line="240" w:lineRule="auto"/>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eastAsia="zh-CN"/>
              </w:rPr>
              <w:t>主要施工机械包括混凝土</w:t>
            </w:r>
            <w:r>
              <w:rPr>
                <w:rFonts w:hint="eastAsia" w:ascii="仿宋_GB2312" w:hAnsi="仿宋_GB2312" w:cs="仿宋_GB2312"/>
                <w:kern w:val="0"/>
                <w:sz w:val="24"/>
                <w:szCs w:val="24"/>
                <w:lang w:val="en-US" w:eastAsia="zh-CN"/>
              </w:rPr>
              <w:t>泵车2</w:t>
            </w:r>
            <w:r>
              <w:rPr>
                <w:rFonts w:hint="eastAsia" w:ascii="仿宋_GB2312" w:hAnsi="仿宋_GB2312" w:cs="仿宋_GB2312"/>
                <w:kern w:val="0"/>
                <w:sz w:val="24"/>
                <w:szCs w:val="24"/>
                <w:lang w:eastAsia="zh-CN"/>
              </w:rPr>
              <w:t>台，</w:t>
            </w:r>
            <w:r>
              <w:rPr>
                <w:rFonts w:hint="eastAsia" w:ascii="仿宋_GB2312" w:hAnsi="仿宋_GB2312" w:cs="仿宋_GB2312"/>
                <w:kern w:val="0"/>
                <w:sz w:val="24"/>
                <w:szCs w:val="24"/>
                <w:lang w:val="en-US" w:eastAsia="zh-CN"/>
              </w:rPr>
              <w:t>混凝土振捣棒6个。</w:t>
            </w:r>
          </w:p>
        </w:tc>
      </w:tr>
      <w:tr w14:paraId="0A4AD5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0493D110">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作业时间</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186A070B">
            <w:pPr>
              <w:spacing w:line="240" w:lineRule="auto"/>
              <w:rPr>
                <w:rFonts w:hint="eastAsia" w:ascii="仿宋_GB2312" w:hAnsi="仿宋_GB2312" w:eastAsia="仿宋_GB2312" w:cs="仿宋_GB2312"/>
                <w:kern w:val="0"/>
                <w:sz w:val="24"/>
                <w:szCs w:val="24"/>
              </w:rPr>
            </w:pPr>
            <w:r>
              <w:rPr>
                <w:rFonts w:hint="eastAsia" w:ascii="仿宋_GB2312" w:hAnsi="仿宋_GB2312" w:cs="仿宋_GB2312"/>
                <w:kern w:val="0"/>
                <w:sz w:val="24"/>
                <w:szCs w:val="24"/>
                <w:lang w:val="en-US" w:eastAsia="zh-CN"/>
              </w:rPr>
              <w:t>2025</w:t>
            </w:r>
            <w:r>
              <w:rPr>
                <w:rFonts w:hint="eastAsia" w:ascii="仿宋_GB2312" w:hAnsi="仿宋_GB2312" w:eastAsia="仿宋_GB2312" w:cs="仿宋_GB2312"/>
                <w:kern w:val="0"/>
                <w:sz w:val="24"/>
                <w:szCs w:val="24"/>
              </w:rPr>
              <w:t>年</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14</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时至</w:t>
            </w:r>
            <w:r>
              <w:rPr>
                <w:rFonts w:hint="eastAsia" w:ascii="仿宋_GB2312" w:hAnsi="仿宋_GB2312" w:cs="仿宋_GB2312"/>
                <w:kern w:val="0"/>
                <w:sz w:val="24"/>
                <w:szCs w:val="24"/>
                <w:lang w:val="en-US" w:eastAsia="zh-CN"/>
              </w:rPr>
              <w:t>12</w:t>
            </w:r>
            <w:r>
              <w:rPr>
                <w:rFonts w:hint="eastAsia" w:ascii="仿宋_GB2312" w:hAnsi="仿宋_GB2312" w:eastAsia="仿宋_GB2312" w:cs="仿宋_GB2312"/>
                <w:kern w:val="0"/>
                <w:sz w:val="24"/>
                <w:szCs w:val="24"/>
              </w:rPr>
              <w:t>月</w:t>
            </w:r>
            <w:r>
              <w:rPr>
                <w:rFonts w:hint="eastAsia" w:ascii="仿宋_GB2312" w:hAnsi="仿宋_GB2312" w:cs="仿宋_GB2312"/>
                <w:kern w:val="0"/>
                <w:sz w:val="24"/>
                <w:szCs w:val="24"/>
                <w:lang w:val="en-US" w:eastAsia="zh-CN"/>
              </w:rPr>
              <w:t>15</w:t>
            </w:r>
            <w:r>
              <w:rPr>
                <w:rFonts w:hint="eastAsia" w:ascii="仿宋_GB2312" w:hAnsi="仿宋_GB2312" w:eastAsia="仿宋_GB2312" w:cs="仿宋_GB2312"/>
                <w:kern w:val="0"/>
                <w:sz w:val="24"/>
                <w:szCs w:val="24"/>
              </w:rPr>
              <w:t>日</w:t>
            </w:r>
            <w:r>
              <w:rPr>
                <w:rFonts w:hint="eastAsia" w:ascii="仿宋_GB2312" w:hAnsi="仿宋_GB2312" w:cs="仿宋_GB2312"/>
                <w:kern w:val="0"/>
                <w:sz w:val="24"/>
                <w:szCs w:val="24"/>
                <w:lang w:val="en-US" w:eastAsia="zh-CN"/>
              </w:rPr>
              <w:t>07</w:t>
            </w:r>
            <w:r>
              <w:rPr>
                <w:rFonts w:hint="eastAsia" w:ascii="仿宋_GB2312" w:hAnsi="仿宋_GB2312" w:eastAsia="仿宋_GB2312" w:cs="仿宋_GB2312"/>
                <w:kern w:val="0"/>
                <w:sz w:val="24"/>
                <w:szCs w:val="24"/>
              </w:rPr>
              <w:t>时</w:t>
            </w:r>
          </w:p>
        </w:tc>
      </w:tr>
      <w:tr w14:paraId="5966B0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7E5127F5">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项目负责人</w:t>
            </w:r>
          </w:p>
        </w:tc>
        <w:tc>
          <w:tcPr>
            <w:tcW w:w="2953" w:type="dxa"/>
            <w:tcBorders>
              <w:top w:val="single" w:color="auto" w:sz="4" w:space="0"/>
              <w:left w:val="single" w:color="auto" w:sz="4" w:space="0"/>
              <w:bottom w:val="single" w:color="auto" w:sz="4" w:space="0"/>
              <w:right w:val="single" w:color="auto" w:sz="4" w:space="0"/>
            </w:tcBorders>
            <w:noWrap w:val="0"/>
            <w:vAlign w:val="center"/>
          </w:tcPr>
          <w:p w14:paraId="504CE728">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XXX</w:t>
            </w:r>
          </w:p>
        </w:tc>
        <w:tc>
          <w:tcPr>
            <w:tcW w:w="2268" w:type="dxa"/>
            <w:tcBorders>
              <w:top w:val="single" w:color="auto" w:sz="4" w:space="0"/>
              <w:left w:val="single" w:color="auto" w:sz="4" w:space="0"/>
              <w:bottom w:val="single" w:color="auto" w:sz="4" w:space="0"/>
              <w:right w:val="single" w:color="auto" w:sz="4" w:space="0"/>
            </w:tcBorders>
            <w:noWrap w:val="0"/>
            <w:vAlign w:val="center"/>
          </w:tcPr>
          <w:p w14:paraId="0E39220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电话</w:t>
            </w:r>
          </w:p>
        </w:tc>
        <w:tc>
          <w:tcPr>
            <w:tcW w:w="1701" w:type="dxa"/>
            <w:tcBorders>
              <w:top w:val="single" w:color="auto" w:sz="4" w:space="0"/>
              <w:left w:val="single" w:color="auto" w:sz="4" w:space="0"/>
              <w:bottom w:val="single" w:color="auto" w:sz="4" w:space="0"/>
              <w:right w:val="single" w:color="auto" w:sz="4" w:space="0"/>
            </w:tcBorders>
            <w:noWrap w:val="0"/>
            <w:vAlign w:val="center"/>
          </w:tcPr>
          <w:p w14:paraId="6C496870">
            <w:pPr>
              <w:widowControl/>
              <w:spacing w:line="240" w:lineRule="auto"/>
              <w:jc w:val="left"/>
              <w:rPr>
                <w:rFonts w:hint="default" w:ascii="仿宋_GB2312" w:hAnsi="仿宋_GB2312" w:eastAsia="仿宋_GB2312" w:cs="仿宋_GB2312"/>
                <w:kern w:val="0"/>
                <w:sz w:val="24"/>
                <w:szCs w:val="24"/>
                <w:lang w:val="en-US" w:eastAsia="zh-CN"/>
              </w:rPr>
            </w:pPr>
            <w:r>
              <w:rPr>
                <w:rFonts w:hint="eastAsia" w:ascii="仿宋_GB2312" w:hAnsi="仿宋_GB2312" w:cs="仿宋_GB2312"/>
                <w:kern w:val="0"/>
                <w:sz w:val="24"/>
                <w:szCs w:val="24"/>
                <w:lang w:val="en-US" w:eastAsia="zh-CN"/>
              </w:rPr>
              <w:t>131XXXXXX</w:t>
            </w:r>
            <w:bookmarkStart w:id="2" w:name="_GoBack"/>
            <w:bookmarkEnd w:id="2"/>
            <w:r>
              <w:rPr>
                <w:rFonts w:hint="eastAsia" w:ascii="仿宋_GB2312" w:hAnsi="仿宋_GB2312" w:cs="仿宋_GB2312"/>
                <w:kern w:val="0"/>
                <w:sz w:val="24"/>
                <w:szCs w:val="24"/>
                <w:lang w:val="en-US" w:eastAsia="zh-CN"/>
              </w:rPr>
              <w:t>46</w:t>
            </w:r>
          </w:p>
        </w:tc>
      </w:tr>
      <w:tr w14:paraId="7A582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258B2264">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环境噪声防治措施</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9316E2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在施工场地显著位置设置环保公告栏，主动公开施工噪声污染防治方案和控制措施；</w:t>
            </w:r>
          </w:p>
          <w:p w14:paraId="155B6E82">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在施工现场设置群众环保诉求接访点，明确接访人和负责人，面对面接待群众来访和投诉；</w:t>
            </w:r>
          </w:p>
          <w:p w14:paraId="62E6EA5A">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明确工地环保负责人，对内建立岗位责任制，落实控噪措施，对外建立与周边社区、物业及居民的沟通联系机制，及时落实回应群众的环境诉求；</w:t>
            </w:r>
          </w:p>
          <w:p w14:paraId="10B468ED">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lang w:eastAsia="zh-CN"/>
              </w:rPr>
              <w:t>按规定</w:t>
            </w:r>
            <w:r>
              <w:rPr>
                <w:rFonts w:hint="eastAsia" w:ascii="仿宋_GB2312" w:hAnsi="仿宋_GB2312" w:eastAsia="仿宋_GB2312" w:cs="仿宋_GB2312"/>
                <w:kern w:val="0"/>
                <w:sz w:val="24"/>
                <w:szCs w:val="24"/>
              </w:rPr>
              <w:t>配套建设噪声在线监测设施和规范安装视频监控系统，并与环保、住建等相关管理部门联网；</w:t>
            </w:r>
          </w:p>
          <w:p w14:paraId="59F692CE">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严格遵守施工作业限制性规定，未经允许不得超时施工；</w:t>
            </w:r>
          </w:p>
          <w:p w14:paraId="276E37F9">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按规范设置隔声围挡，合理布局施工机械设备，降低施工噪声对周边居民的影响；</w:t>
            </w:r>
          </w:p>
          <w:p w14:paraId="7ED3A16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制定噪声扰民应急处置预案，分级分类采取噪声防控响应措施并向生态环境部门报备；</w:t>
            </w:r>
          </w:p>
          <w:p w14:paraId="65C7C5C7">
            <w:pPr>
              <w:widowControl/>
              <w:numPr>
                <w:ilvl w:val="0"/>
                <w:numId w:val="1"/>
              </w:numPr>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优先选用低噪声的施工工艺和设备，落实各项隔声降噪措施，并向社会公开。</w:t>
            </w:r>
          </w:p>
        </w:tc>
      </w:tr>
      <w:tr w14:paraId="2EB442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92EEFE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备     注</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75B17E0E">
            <w:pPr>
              <w:widowControl/>
              <w:numPr>
                <w:ilvl w:val="0"/>
                <w:numId w:val="0"/>
              </w:numPr>
              <w:spacing w:line="240" w:lineRule="auto"/>
              <w:jc w:val="left"/>
              <w:rPr>
                <w:rFonts w:hint="default" w:ascii="仿宋_GB2312" w:hAnsi="仿宋_GB2312" w:eastAsia="仿宋_GB2312" w:cs="仿宋_GB2312"/>
                <w:kern w:val="0"/>
                <w:sz w:val="24"/>
                <w:szCs w:val="24"/>
                <w:lang w:val="en-US"/>
              </w:rPr>
            </w:pPr>
            <w:permStart w:id="0" w:edGrp="everyone"/>
            <w:bookmarkStart w:id="0" w:name="SOA_BZ"/>
            <w:bookmarkEnd w:id="0"/>
            <w:r>
              <w:rPr>
                <w:rFonts w:hint="eastAsia" w:ascii="仿宋_GB2312" w:hAnsi="仿宋_GB2312" w:eastAsia="仿宋_GB2312" w:cs="仿宋_GB2312"/>
                <w:kern w:val="0"/>
                <w:sz w:val="24"/>
                <w:szCs w:val="24"/>
                <w:lang w:eastAsia="zh-CN"/>
              </w:rPr>
              <w:t>监理单位夜间值班电话：</w:t>
            </w:r>
            <w:r>
              <w:rPr>
                <w:rFonts w:hint="eastAsia" w:ascii="仿宋_GB2312" w:hAnsi="仿宋_GB2312" w:cs="仿宋_GB2312"/>
                <w:kern w:val="0"/>
                <w:sz w:val="24"/>
                <w:szCs w:val="24"/>
                <w:lang w:val="en-US" w:eastAsia="zh-CN"/>
              </w:rPr>
              <w:t>18776593707</w:t>
            </w:r>
            <w:permEnd w:id="0"/>
          </w:p>
        </w:tc>
      </w:tr>
      <w:tr w14:paraId="774921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3E571CA2">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发证日期</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798FEA1">
            <w:pPr>
              <w:widowControl/>
              <w:spacing w:line="240" w:lineRule="auto"/>
              <w:jc w:val="left"/>
              <w:rPr>
                <w:rFonts w:hint="eastAsia" w:ascii="仿宋_GB2312" w:hAnsi="仿宋_GB2312" w:eastAsia="仿宋_GB2312" w:cs="仿宋_GB2312"/>
                <w:kern w:val="0"/>
                <w:sz w:val="24"/>
                <w:szCs w:val="24"/>
              </w:rPr>
            </w:pPr>
            <w:permStart w:id="1" w:edGrp="everyone"/>
            <w:bookmarkStart w:id="1" w:name="SOA_FZSJ"/>
            <w:r>
              <w:rPr>
                <w:rFonts w:hint="eastAsia" w:ascii="仿宋_GB2312" w:hAnsi="仿宋_GB2312" w:cs="仿宋_GB2312"/>
                <w:kern w:val="0"/>
                <w:sz w:val="24"/>
                <w:szCs w:val="24"/>
                <w:lang w:val="en-US" w:eastAsia="zh-CN"/>
              </w:rPr>
              <w:t>2025年12月12日</w:t>
            </w:r>
            <w:permEnd w:id="1"/>
            <w:bookmarkEnd w:id="1"/>
          </w:p>
        </w:tc>
      </w:tr>
      <w:tr w14:paraId="383B6C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1"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1150240D">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注</w:t>
            </w:r>
            <w:r>
              <w:rPr>
                <w:rFonts w:hint="eastAsia" w:ascii="仿宋_GB2312" w:hAnsi="仿宋_GB2312" w:eastAsia="仿宋_GB2312" w:cs="仿宋_GB2312"/>
                <w:kern w:val="0"/>
                <w:sz w:val="24"/>
                <w:szCs w:val="24"/>
              </w:rPr>
              <w:br w:type="textWrapping"/>
            </w:r>
          </w:p>
          <w:p w14:paraId="27C9C000">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意</w:t>
            </w:r>
            <w:r>
              <w:rPr>
                <w:rFonts w:hint="eastAsia" w:ascii="仿宋_GB2312" w:hAnsi="仿宋_GB2312" w:eastAsia="仿宋_GB2312" w:cs="仿宋_GB2312"/>
                <w:kern w:val="0"/>
                <w:sz w:val="24"/>
                <w:szCs w:val="24"/>
              </w:rPr>
              <w:br w:type="textWrapping"/>
            </w:r>
          </w:p>
          <w:p w14:paraId="242B7B62">
            <w:pPr>
              <w:widowControl/>
              <w:spacing w:line="240" w:lineRule="auto"/>
              <w:jc w:val="center"/>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事</w:t>
            </w:r>
            <w:r>
              <w:rPr>
                <w:rFonts w:hint="eastAsia" w:ascii="仿宋_GB2312" w:hAnsi="仿宋_GB2312" w:eastAsia="仿宋_GB2312" w:cs="仿宋_GB2312"/>
                <w:kern w:val="0"/>
                <w:sz w:val="24"/>
                <w:szCs w:val="24"/>
              </w:rPr>
              <w:br w:type="textWrapping"/>
            </w:r>
          </w:p>
          <w:p w14:paraId="10B96D17">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项</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012565B1">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1.施工单位将本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张挂于施工现场办公室，以备检查；</w:t>
            </w:r>
          </w:p>
          <w:p w14:paraId="6C2E245C">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2.施工单位须在施工现场周围张贴夜间施工的告示，并做好对周围居民的解释工作；</w:t>
            </w:r>
          </w:p>
          <w:p w14:paraId="2FDCCC3D">
            <w:pPr>
              <w:widowControl/>
              <w:snapToGrid w:val="0"/>
              <w:spacing w:line="240" w:lineRule="auto"/>
              <w:jc w:val="left"/>
              <w:rPr>
                <w:rFonts w:hint="eastAsia" w:ascii="仿宋_GB2312" w:hAnsi="仿宋_GB2312" w:eastAsia="仿宋_GB2312" w:cs="仿宋_GB2312"/>
                <w:kern w:val="0"/>
                <w:sz w:val="24"/>
                <w:szCs w:val="24"/>
                <w:lang w:eastAsia="zh-CN"/>
              </w:rPr>
            </w:pPr>
            <w:r>
              <w:rPr>
                <w:rFonts w:hint="eastAsia" w:ascii="仿宋_GB2312" w:hAnsi="仿宋_GB2312" w:eastAsia="仿宋_GB2312" w:cs="仿宋_GB2312"/>
                <w:kern w:val="0"/>
                <w:sz w:val="24"/>
                <w:szCs w:val="24"/>
              </w:rPr>
              <w:t>3.本</w:t>
            </w:r>
            <w:r>
              <w:rPr>
                <w:rFonts w:hint="eastAsia" w:ascii="仿宋_GB2312" w:hAnsi="仿宋_GB2312" w:eastAsia="仿宋_GB2312" w:cs="仿宋_GB2312"/>
                <w:kern w:val="0"/>
                <w:sz w:val="24"/>
                <w:szCs w:val="24"/>
                <w:lang w:eastAsia="zh-CN"/>
              </w:rPr>
              <w:t>证明</w:t>
            </w:r>
            <w:r>
              <w:rPr>
                <w:rFonts w:hint="eastAsia" w:ascii="仿宋_GB2312" w:hAnsi="仿宋_GB2312" w:eastAsia="仿宋_GB2312" w:cs="仿宋_GB2312"/>
                <w:kern w:val="0"/>
                <w:sz w:val="24"/>
                <w:szCs w:val="24"/>
              </w:rPr>
              <w:t>施工内容及施工时间已经审批核准不得更改，涂改无效；</w:t>
            </w:r>
          </w:p>
          <w:p w14:paraId="32C3F83C">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4.施工单位必须按要求做到文明施工；</w:t>
            </w:r>
          </w:p>
          <w:p w14:paraId="28981DC6">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5.建筑施工场界环境噪声排放执行《建筑施工场界环境噪声排放标准》（GB12523-2011）的规定，即昼间70</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，夜间55</w:t>
            </w:r>
            <w:r>
              <w:rPr>
                <w:rFonts w:hint="eastAsia" w:ascii="仿宋_GB2312" w:hAnsi="仿宋_GB2312" w:eastAsia="仿宋_GB2312" w:cs="仿宋_GB2312"/>
                <w:kern w:val="0"/>
                <w:sz w:val="24"/>
                <w:szCs w:val="24"/>
                <w:lang w:val="en-US" w:eastAsia="zh-CN"/>
              </w:rPr>
              <w:t>dB(A)</w:t>
            </w:r>
            <w:r>
              <w:rPr>
                <w:rFonts w:hint="eastAsia" w:ascii="仿宋_GB2312" w:hAnsi="仿宋_GB2312" w:eastAsia="仿宋_GB2312" w:cs="仿宋_GB2312"/>
                <w:kern w:val="0"/>
                <w:sz w:val="24"/>
                <w:szCs w:val="24"/>
              </w:rPr>
              <w:t>。</w:t>
            </w:r>
          </w:p>
        </w:tc>
      </w:tr>
      <w:tr w14:paraId="720303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41CF65AA">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法律条款</w:t>
            </w:r>
          </w:p>
          <w:p w14:paraId="0A2B6C33">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依据</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54979CD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《深圳经济特区环境噪声污染防治条例》</w:t>
            </w:r>
          </w:p>
          <w:p w14:paraId="0BC5C654">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 xml:space="preserve">第二十八条  </w:t>
            </w:r>
          </w:p>
          <w:p w14:paraId="01CF5F00">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在城市建成区内，禁止在中午或者夜间进行产生环境噪声的建筑施工作业，但是有下列情形之一的除外：</w:t>
            </w:r>
          </w:p>
          <w:p w14:paraId="798EA6AD">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（一）国家、省、市重大项目因特殊需要必须连续作业的；</w:t>
            </w:r>
          </w:p>
          <w:p w14:paraId="4F05926A">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（二）按照正常作业时间开始施工但是因生产工艺要求必须连续作业的；</w:t>
            </w:r>
          </w:p>
          <w:p w14:paraId="13C4B7F1">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w:t>
            </w:r>
          </w:p>
          <w:p w14:paraId="171A2F07">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第二十九条  具有本条例第二十八条第一款第一、二项情形之一的，施工单位应当在施工作业前五个工作日向工程所在地生态环境主管部门提出申请，…。生态环境主管部门对符合规定的申请应当自申请之日起三个工作日内出具中午或者夜间作业证明。…</w:t>
            </w:r>
          </w:p>
        </w:tc>
      </w:tr>
      <w:tr w14:paraId="50D7C6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4" w:hRule="atLeast"/>
        </w:trPr>
        <w:tc>
          <w:tcPr>
            <w:tcW w:w="1442" w:type="dxa"/>
            <w:tcBorders>
              <w:top w:val="single" w:color="auto" w:sz="4" w:space="0"/>
              <w:left w:val="single" w:color="auto" w:sz="4" w:space="0"/>
              <w:bottom w:val="single" w:color="auto" w:sz="4" w:space="0"/>
              <w:right w:val="single" w:color="auto" w:sz="4" w:space="0"/>
            </w:tcBorders>
            <w:noWrap w:val="0"/>
            <w:vAlign w:val="center"/>
          </w:tcPr>
          <w:p w14:paraId="5D8621A9">
            <w:pPr>
              <w:widowControl/>
              <w:spacing w:line="240" w:lineRule="auto"/>
              <w:jc w:val="center"/>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法律救济</w:t>
            </w:r>
          </w:p>
        </w:tc>
        <w:tc>
          <w:tcPr>
            <w:tcW w:w="6922" w:type="dxa"/>
            <w:gridSpan w:val="3"/>
            <w:tcBorders>
              <w:top w:val="single" w:color="auto" w:sz="4" w:space="0"/>
              <w:left w:val="single" w:color="auto" w:sz="4" w:space="0"/>
              <w:bottom w:val="single" w:color="auto" w:sz="4" w:space="0"/>
              <w:right w:val="single" w:color="auto" w:sz="4" w:space="0"/>
            </w:tcBorders>
            <w:noWrap w:val="0"/>
            <w:vAlign w:val="center"/>
          </w:tcPr>
          <w:p w14:paraId="63D13D73">
            <w:pPr>
              <w:widowControl/>
              <w:snapToGrid w:val="0"/>
              <w:spacing w:line="240" w:lineRule="auto"/>
              <w:jc w:val="left"/>
              <w:rPr>
                <w:rFonts w:hint="eastAsia" w:ascii="仿宋_GB2312" w:hAnsi="仿宋_GB2312" w:eastAsia="仿宋_GB2312" w:cs="仿宋_GB2312"/>
                <w:kern w:val="0"/>
                <w:sz w:val="24"/>
                <w:szCs w:val="24"/>
              </w:rPr>
            </w:pPr>
            <w:r>
              <w:rPr>
                <w:rFonts w:hint="eastAsia" w:ascii="仿宋_GB2312" w:hAnsi="仿宋_GB2312" w:eastAsia="仿宋_GB2312" w:cs="仿宋_GB2312"/>
                <w:kern w:val="0"/>
                <w:sz w:val="24"/>
                <w:szCs w:val="24"/>
              </w:rPr>
              <w:t>如对本决定不服的，可以自收到本决定书之日起六十日内依法向深圳市人民政府或深圳市</w:t>
            </w:r>
            <w:r>
              <w:rPr>
                <w:rFonts w:hint="eastAsia" w:ascii="仿宋_GB2312" w:hAnsi="仿宋_GB2312" w:cs="仿宋_GB2312"/>
                <w:kern w:val="0"/>
                <w:sz w:val="24"/>
                <w:szCs w:val="24"/>
                <w:lang w:val="en-US" w:eastAsia="zh-CN"/>
              </w:rPr>
              <w:t>盐田</w:t>
            </w:r>
            <w:r>
              <w:rPr>
                <w:rFonts w:hint="eastAsia" w:ascii="仿宋_GB2312" w:hAnsi="仿宋_GB2312" w:eastAsia="仿宋_GB2312" w:cs="仿宋_GB2312"/>
                <w:kern w:val="0"/>
                <w:sz w:val="24"/>
                <w:szCs w:val="24"/>
              </w:rPr>
              <w:t>区人民政府申请行政复议，或者自收到本决定书之日起六个月内依法向深圳市龙岗区人民法院起诉。</w:t>
            </w:r>
          </w:p>
        </w:tc>
      </w:tr>
    </w:tbl>
    <w:p w14:paraId="3FA25C53">
      <w:pPr>
        <w:keepNext w:val="0"/>
        <w:keepLines w:val="0"/>
        <w:pageBreakBefore w:val="0"/>
        <w:widowControl w:val="0"/>
        <w:kinsoku/>
        <w:wordWrap/>
        <w:overflowPunct/>
        <w:topLinePunct w:val="0"/>
        <w:autoSpaceDE/>
        <w:autoSpaceDN/>
        <w:bidi w:val="0"/>
        <w:adjustRightInd/>
        <w:snapToGrid/>
        <w:spacing w:before="624" w:beforeLines="200" w:after="468" w:afterLines="150" w:line="160" w:lineRule="exact"/>
        <w:ind w:right="-86" w:rightChars="-27"/>
        <w:jc w:val="right"/>
        <w:textAlignment w:val="auto"/>
        <w:rPr>
          <w:rFonts w:hint="eastAsia" w:ascii="黑体" w:hAnsi="黑体" w:eastAsia="黑体" w:cs="黑体"/>
          <w:sz w:val="24"/>
          <w:szCs w:val="24"/>
          <w:lang w:eastAsia="zh-CN"/>
        </w:rPr>
      </w:pPr>
      <w:r>
        <w:rPr>
          <w:rFonts w:hint="eastAsia" w:ascii="黑体" w:hAnsi="黑体" w:eastAsia="黑体" w:cs="黑体"/>
          <w:sz w:val="24"/>
          <w:szCs w:val="24"/>
        </w:rPr>
        <w:t>发证机关：深圳市生态环境局</w:t>
      </w:r>
      <w:r>
        <w:rPr>
          <w:rFonts w:hint="eastAsia" w:ascii="黑体" w:hAnsi="黑体" w:eastAsia="黑体" w:cs="黑体"/>
          <w:kern w:val="0"/>
          <w:sz w:val="24"/>
          <w:szCs w:val="24"/>
          <w:lang w:val="en-US" w:eastAsia="zh-CN"/>
        </w:rPr>
        <w:t>盐田</w:t>
      </w:r>
      <w:r>
        <w:rPr>
          <w:rFonts w:hint="eastAsia" w:ascii="黑体" w:hAnsi="黑体" w:eastAsia="黑体" w:cs="黑体"/>
          <w:sz w:val="24"/>
          <w:szCs w:val="24"/>
        </w:rPr>
        <w:t>管理局</w:t>
      </w:r>
    </w:p>
    <w:p w14:paraId="62760D2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auto"/>
    <w:pitch w:val="default"/>
    <w:sig w:usb0="00000001" w:usb1="080E0000" w:usb2="00000000" w:usb3="00000000" w:csb0="00040000" w:csb1="00000000"/>
  </w:font>
  <w:font w:name="Calibri Light">
    <w:panose1 w:val="020F0302020204030204"/>
    <w:charset w:val="00"/>
    <w:family w:val="auto"/>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C19B97D"/>
    <w:multiLevelType w:val="singleLevel"/>
    <w:tmpl w:val="0C19B97D"/>
    <w:lvl w:ilvl="0" w:tentative="0">
      <w:start w:val="1"/>
      <w:numFmt w:val="decimal"/>
      <w:lvlText w:val="%1."/>
      <w:lvlJc w:val="left"/>
      <w:pPr>
        <w:tabs>
          <w:tab w:val="left" w:pos="312"/>
        </w:tabs>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A3ODcwMThjYzhiNGFhMGM4NGQ2MGIxMWZlNTZlMmEifQ=="/>
  </w:docVars>
  <w:rsids>
    <w:rsidRoot w:val="6EB66A5A"/>
    <w:rsid w:val="000E746B"/>
    <w:rsid w:val="01041EE8"/>
    <w:rsid w:val="01536DCE"/>
    <w:rsid w:val="01574B75"/>
    <w:rsid w:val="016C2D4F"/>
    <w:rsid w:val="017D179D"/>
    <w:rsid w:val="018E6135"/>
    <w:rsid w:val="01995B0E"/>
    <w:rsid w:val="026259BB"/>
    <w:rsid w:val="02B5428B"/>
    <w:rsid w:val="02B62047"/>
    <w:rsid w:val="02BE1EDE"/>
    <w:rsid w:val="02D65BCF"/>
    <w:rsid w:val="02D743AD"/>
    <w:rsid w:val="03367AB9"/>
    <w:rsid w:val="03717608"/>
    <w:rsid w:val="045A064E"/>
    <w:rsid w:val="04E97C7A"/>
    <w:rsid w:val="04FA617A"/>
    <w:rsid w:val="05AE6368"/>
    <w:rsid w:val="05B2719F"/>
    <w:rsid w:val="06206BE9"/>
    <w:rsid w:val="066610A4"/>
    <w:rsid w:val="068D5051"/>
    <w:rsid w:val="07022A6E"/>
    <w:rsid w:val="073317E5"/>
    <w:rsid w:val="0773585F"/>
    <w:rsid w:val="0780281E"/>
    <w:rsid w:val="0851186A"/>
    <w:rsid w:val="08896B20"/>
    <w:rsid w:val="08E61C8C"/>
    <w:rsid w:val="08F12C71"/>
    <w:rsid w:val="09015DDE"/>
    <w:rsid w:val="098E3A7F"/>
    <w:rsid w:val="09974A23"/>
    <w:rsid w:val="0A052B89"/>
    <w:rsid w:val="0A3E373D"/>
    <w:rsid w:val="0A6718DD"/>
    <w:rsid w:val="0A68211E"/>
    <w:rsid w:val="0AFF02F5"/>
    <w:rsid w:val="0C2430A1"/>
    <w:rsid w:val="0C36044A"/>
    <w:rsid w:val="0C5351CB"/>
    <w:rsid w:val="0C71390F"/>
    <w:rsid w:val="0C9B609C"/>
    <w:rsid w:val="0CD06F3F"/>
    <w:rsid w:val="0D7116ED"/>
    <w:rsid w:val="0D8D078E"/>
    <w:rsid w:val="0D970DA7"/>
    <w:rsid w:val="0DB85B76"/>
    <w:rsid w:val="0DD203DE"/>
    <w:rsid w:val="0E1E0331"/>
    <w:rsid w:val="0E741495"/>
    <w:rsid w:val="0EC178B2"/>
    <w:rsid w:val="0F5A2EFD"/>
    <w:rsid w:val="0F6573C3"/>
    <w:rsid w:val="10142F30"/>
    <w:rsid w:val="10326335"/>
    <w:rsid w:val="10435F2E"/>
    <w:rsid w:val="10C04E65"/>
    <w:rsid w:val="11F10BB7"/>
    <w:rsid w:val="120130B2"/>
    <w:rsid w:val="124F72D2"/>
    <w:rsid w:val="12AA1E37"/>
    <w:rsid w:val="138F0AA2"/>
    <w:rsid w:val="13E76BAD"/>
    <w:rsid w:val="1435272A"/>
    <w:rsid w:val="14364B2C"/>
    <w:rsid w:val="148A76CC"/>
    <w:rsid w:val="16232545"/>
    <w:rsid w:val="16792096"/>
    <w:rsid w:val="1682473D"/>
    <w:rsid w:val="16D11BFA"/>
    <w:rsid w:val="180356ED"/>
    <w:rsid w:val="185C5173"/>
    <w:rsid w:val="18A12970"/>
    <w:rsid w:val="18AC2047"/>
    <w:rsid w:val="18FC5B3F"/>
    <w:rsid w:val="18FE477D"/>
    <w:rsid w:val="19522C97"/>
    <w:rsid w:val="19661AFA"/>
    <w:rsid w:val="1AC410B9"/>
    <w:rsid w:val="1B0D3053"/>
    <w:rsid w:val="1B1A33C4"/>
    <w:rsid w:val="1B2F7CEF"/>
    <w:rsid w:val="1B4233A9"/>
    <w:rsid w:val="1B916F03"/>
    <w:rsid w:val="1C195CCB"/>
    <w:rsid w:val="1D6B103D"/>
    <w:rsid w:val="1D8A1A6C"/>
    <w:rsid w:val="1E593913"/>
    <w:rsid w:val="1E63347C"/>
    <w:rsid w:val="1F220A99"/>
    <w:rsid w:val="204B0158"/>
    <w:rsid w:val="20B6593D"/>
    <w:rsid w:val="21963050"/>
    <w:rsid w:val="22571E7E"/>
    <w:rsid w:val="22AF368E"/>
    <w:rsid w:val="23AD2C4A"/>
    <w:rsid w:val="244871F4"/>
    <w:rsid w:val="24CF4474"/>
    <w:rsid w:val="24D657F6"/>
    <w:rsid w:val="25897AC4"/>
    <w:rsid w:val="264600D2"/>
    <w:rsid w:val="265619EB"/>
    <w:rsid w:val="265E5A69"/>
    <w:rsid w:val="27022682"/>
    <w:rsid w:val="271D3D1F"/>
    <w:rsid w:val="276E2ACE"/>
    <w:rsid w:val="28AC4110"/>
    <w:rsid w:val="28B814B1"/>
    <w:rsid w:val="28E95F83"/>
    <w:rsid w:val="28F007AC"/>
    <w:rsid w:val="29307F59"/>
    <w:rsid w:val="29501505"/>
    <w:rsid w:val="29583A35"/>
    <w:rsid w:val="29B56565"/>
    <w:rsid w:val="29E479CE"/>
    <w:rsid w:val="29FB6C26"/>
    <w:rsid w:val="2A15089B"/>
    <w:rsid w:val="2A1F0275"/>
    <w:rsid w:val="2A2E3B52"/>
    <w:rsid w:val="2BBE5BAA"/>
    <w:rsid w:val="2BEE41C2"/>
    <w:rsid w:val="2C086219"/>
    <w:rsid w:val="2C1910F3"/>
    <w:rsid w:val="2C1E6374"/>
    <w:rsid w:val="2C3446DE"/>
    <w:rsid w:val="2C815FA4"/>
    <w:rsid w:val="2C936E1D"/>
    <w:rsid w:val="2CA9682F"/>
    <w:rsid w:val="2E955CC8"/>
    <w:rsid w:val="2EB2225E"/>
    <w:rsid w:val="2F715BEB"/>
    <w:rsid w:val="2F7F0A2A"/>
    <w:rsid w:val="30473EB4"/>
    <w:rsid w:val="3222327C"/>
    <w:rsid w:val="33EA3B32"/>
    <w:rsid w:val="348815D9"/>
    <w:rsid w:val="351647A5"/>
    <w:rsid w:val="35CB11A7"/>
    <w:rsid w:val="360A18D9"/>
    <w:rsid w:val="36BB5604"/>
    <w:rsid w:val="377B4F46"/>
    <w:rsid w:val="37B2202F"/>
    <w:rsid w:val="37B7401D"/>
    <w:rsid w:val="37EE0BAA"/>
    <w:rsid w:val="380118B1"/>
    <w:rsid w:val="380B74BF"/>
    <w:rsid w:val="383A1A61"/>
    <w:rsid w:val="38596F5C"/>
    <w:rsid w:val="38892812"/>
    <w:rsid w:val="388B28C8"/>
    <w:rsid w:val="38C67111"/>
    <w:rsid w:val="391E7C33"/>
    <w:rsid w:val="39C26276"/>
    <w:rsid w:val="39EE5671"/>
    <w:rsid w:val="3A5A2F54"/>
    <w:rsid w:val="3A7C5E77"/>
    <w:rsid w:val="3A9B1B68"/>
    <w:rsid w:val="3AA47D0C"/>
    <w:rsid w:val="3B0D255F"/>
    <w:rsid w:val="3BEF7C38"/>
    <w:rsid w:val="3C235EAA"/>
    <w:rsid w:val="3C3F2833"/>
    <w:rsid w:val="3C576E61"/>
    <w:rsid w:val="3C6E06DC"/>
    <w:rsid w:val="3CBC461A"/>
    <w:rsid w:val="3CF12C36"/>
    <w:rsid w:val="409D325B"/>
    <w:rsid w:val="413C005F"/>
    <w:rsid w:val="41947FEC"/>
    <w:rsid w:val="42731126"/>
    <w:rsid w:val="42E303BC"/>
    <w:rsid w:val="44760DBC"/>
    <w:rsid w:val="44832653"/>
    <w:rsid w:val="45192C36"/>
    <w:rsid w:val="456D1E9D"/>
    <w:rsid w:val="45862259"/>
    <w:rsid w:val="46A2398F"/>
    <w:rsid w:val="46C13A76"/>
    <w:rsid w:val="47596A27"/>
    <w:rsid w:val="478F415A"/>
    <w:rsid w:val="481B5A1B"/>
    <w:rsid w:val="481B5EC5"/>
    <w:rsid w:val="48364DDD"/>
    <w:rsid w:val="483F03B2"/>
    <w:rsid w:val="4861074A"/>
    <w:rsid w:val="49244097"/>
    <w:rsid w:val="49275C83"/>
    <w:rsid w:val="495B60F6"/>
    <w:rsid w:val="4A0951A2"/>
    <w:rsid w:val="4A9B5A20"/>
    <w:rsid w:val="4AA37120"/>
    <w:rsid w:val="4ABC63A9"/>
    <w:rsid w:val="4B1A0780"/>
    <w:rsid w:val="4BD31A01"/>
    <w:rsid w:val="4C18211B"/>
    <w:rsid w:val="4CAF22B7"/>
    <w:rsid w:val="4D213142"/>
    <w:rsid w:val="4D46435A"/>
    <w:rsid w:val="4DEC369F"/>
    <w:rsid w:val="4DF909D3"/>
    <w:rsid w:val="4E145B2C"/>
    <w:rsid w:val="4ECA51DC"/>
    <w:rsid w:val="4FE52ABE"/>
    <w:rsid w:val="50DA15E2"/>
    <w:rsid w:val="51133582"/>
    <w:rsid w:val="511E4CB5"/>
    <w:rsid w:val="51423226"/>
    <w:rsid w:val="515A47AB"/>
    <w:rsid w:val="520914C1"/>
    <w:rsid w:val="5244074B"/>
    <w:rsid w:val="528135E6"/>
    <w:rsid w:val="52F3154A"/>
    <w:rsid w:val="533267F6"/>
    <w:rsid w:val="53517367"/>
    <w:rsid w:val="53EF4E3F"/>
    <w:rsid w:val="54A86D6F"/>
    <w:rsid w:val="54EA2B8D"/>
    <w:rsid w:val="564C7F7F"/>
    <w:rsid w:val="568410C2"/>
    <w:rsid w:val="56B97EC8"/>
    <w:rsid w:val="56BE2918"/>
    <w:rsid w:val="572D2A30"/>
    <w:rsid w:val="573D043B"/>
    <w:rsid w:val="574222E8"/>
    <w:rsid w:val="57511D1F"/>
    <w:rsid w:val="576215A8"/>
    <w:rsid w:val="57B22B8F"/>
    <w:rsid w:val="580648A1"/>
    <w:rsid w:val="58A104D5"/>
    <w:rsid w:val="58B840A1"/>
    <w:rsid w:val="58BB0542"/>
    <w:rsid w:val="59A006C5"/>
    <w:rsid w:val="59DB4124"/>
    <w:rsid w:val="5A6B27AC"/>
    <w:rsid w:val="5A8D47F6"/>
    <w:rsid w:val="5A9A3835"/>
    <w:rsid w:val="5A9B1F70"/>
    <w:rsid w:val="5ACF0FE3"/>
    <w:rsid w:val="5ADB5577"/>
    <w:rsid w:val="5B460B15"/>
    <w:rsid w:val="5BDE7690"/>
    <w:rsid w:val="5C39421A"/>
    <w:rsid w:val="5C39662C"/>
    <w:rsid w:val="5D184CAE"/>
    <w:rsid w:val="5D481D35"/>
    <w:rsid w:val="5D632924"/>
    <w:rsid w:val="5E7C1C5B"/>
    <w:rsid w:val="600F70A1"/>
    <w:rsid w:val="606D70BF"/>
    <w:rsid w:val="60802EB1"/>
    <w:rsid w:val="60A86038"/>
    <w:rsid w:val="60BC4911"/>
    <w:rsid w:val="61500EBB"/>
    <w:rsid w:val="61615907"/>
    <w:rsid w:val="619D39D4"/>
    <w:rsid w:val="61F83EEA"/>
    <w:rsid w:val="62652985"/>
    <w:rsid w:val="62832356"/>
    <w:rsid w:val="62A72D5C"/>
    <w:rsid w:val="62B536CE"/>
    <w:rsid w:val="633F171B"/>
    <w:rsid w:val="64341328"/>
    <w:rsid w:val="64C319A4"/>
    <w:rsid w:val="64EE4A2C"/>
    <w:rsid w:val="65283023"/>
    <w:rsid w:val="654D588F"/>
    <w:rsid w:val="65B403CB"/>
    <w:rsid w:val="66020293"/>
    <w:rsid w:val="6670349F"/>
    <w:rsid w:val="66D3305D"/>
    <w:rsid w:val="673D6530"/>
    <w:rsid w:val="67CF0139"/>
    <w:rsid w:val="68342AFA"/>
    <w:rsid w:val="68751207"/>
    <w:rsid w:val="69327E85"/>
    <w:rsid w:val="69C91F73"/>
    <w:rsid w:val="69CB10CF"/>
    <w:rsid w:val="6A440E91"/>
    <w:rsid w:val="6AC26B07"/>
    <w:rsid w:val="6BB9765C"/>
    <w:rsid w:val="6D09463B"/>
    <w:rsid w:val="6D2C6BA1"/>
    <w:rsid w:val="6D3F37E1"/>
    <w:rsid w:val="6D3F6BEC"/>
    <w:rsid w:val="6DC63509"/>
    <w:rsid w:val="6E391C40"/>
    <w:rsid w:val="6E697118"/>
    <w:rsid w:val="6EB66A5A"/>
    <w:rsid w:val="6EC110E5"/>
    <w:rsid w:val="6F152167"/>
    <w:rsid w:val="7040659E"/>
    <w:rsid w:val="70735347"/>
    <w:rsid w:val="70CE6499"/>
    <w:rsid w:val="70D820BD"/>
    <w:rsid w:val="71151E5F"/>
    <w:rsid w:val="71282AAF"/>
    <w:rsid w:val="712832BA"/>
    <w:rsid w:val="720B74BE"/>
    <w:rsid w:val="72500225"/>
    <w:rsid w:val="73325CC9"/>
    <w:rsid w:val="733D6CC5"/>
    <w:rsid w:val="740F0761"/>
    <w:rsid w:val="74743AAD"/>
    <w:rsid w:val="74B60BDD"/>
    <w:rsid w:val="754C32EF"/>
    <w:rsid w:val="75C220CC"/>
    <w:rsid w:val="75C56D4B"/>
    <w:rsid w:val="75C57F15"/>
    <w:rsid w:val="75DF3800"/>
    <w:rsid w:val="760836BA"/>
    <w:rsid w:val="76711DF7"/>
    <w:rsid w:val="76B019D3"/>
    <w:rsid w:val="76BE764F"/>
    <w:rsid w:val="76DE05FC"/>
    <w:rsid w:val="775D1857"/>
    <w:rsid w:val="78737FD2"/>
    <w:rsid w:val="79253202"/>
    <w:rsid w:val="79584791"/>
    <w:rsid w:val="796033A6"/>
    <w:rsid w:val="79B131FF"/>
    <w:rsid w:val="79DD0196"/>
    <w:rsid w:val="7A6E4C83"/>
    <w:rsid w:val="7A7E68E9"/>
    <w:rsid w:val="7B160A95"/>
    <w:rsid w:val="7B173A85"/>
    <w:rsid w:val="7BA02100"/>
    <w:rsid w:val="7C4A4A2C"/>
    <w:rsid w:val="7D652852"/>
    <w:rsid w:val="7E696CC0"/>
    <w:rsid w:val="7F3457A3"/>
    <w:rsid w:val="7F426F3F"/>
    <w:rsid w:val="7FAC155A"/>
    <w:rsid w:val="7FBF62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_GB2312" w:cs="Times New Roman"/>
      <w:kern w:val="2"/>
      <w:sz w:val="32"/>
      <w:szCs w:val="32"/>
      <w:lang w:val="en-US" w:eastAsia="zh-CN" w:bidi="ar-SA"/>
    </w:rPr>
  </w:style>
  <w:style w:type="paragraph" w:styleId="3">
    <w:name w:val="heading 1"/>
    <w:basedOn w:val="1"/>
    <w:next w:val="1"/>
    <w:link w:val="13"/>
    <w:autoRedefine/>
    <w:qFormat/>
    <w:uiPriority w:val="0"/>
    <w:pPr>
      <w:widowControl/>
      <w:adjustRightInd w:val="0"/>
      <w:snapToGrid w:val="0"/>
      <w:spacing w:before="240" w:after="120" w:line="360" w:lineRule="auto"/>
      <w:jc w:val="left"/>
      <w:outlineLvl w:val="0"/>
    </w:pPr>
    <w:rPr>
      <w:rFonts w:ascii="黑体" w:hAnsi="黑体" w:eastAsia="黑体"/>
      <w:bCs/>
      <w:kern w:val="36"/>
      <w:sz w:val="32"/>
      <w:szCs w:val="36"/>
    </w:rPr>
  </w:style>
  <w:style w:type="paragraph" w:styleId="4">
    <w:name w:val="heading 2"/>
    <w:basedOn w:val="1"/>
    <w:next w:val="2"/>
    <w:link w:val="12"/>
    <w:autoRedefine/>
    <w:semiHidden/>
    <w:unhideWhenUsed/>
    <w:qFormat/>
    <w:uiPriority w:val="0"/>
    <w:pPr>
      <w:keepNext/>
      <w:keepLines/>
      <w:spacing w:before="260" w:after="260" w:line="360" w:lineRule="auto"/>
      <w:ind w:left="640" w:leftChars="200"/>
      <w:outlineLvl w:val="1"/>
    </w:pPr>
    <w:rPr>
      <w:rFonts w:ascii="Calibri Light" w:hAnsi="Calibri Light" w:eastAsia="黑体" w:cs="宋体"/>
      <w:bCs/>
      <w:sz w:val="44"/>
      <w:szCs w:val="32"/>
    </w:rPr>
  </w:style>
  <w:style w:type="paragraph" w:styleId="5">
    <w:name w:val="heading 3"/>
    <w:basedOn w:val="1"/>
    <w:next w:val="2"/>
    <w:link w:val="11"/>
    <w:autoRedefine/>
    <w:semiHidden/>
    <w:unhideWhenUsed/>
    <w:qFormat/>
    <w:uiPriority w:val="0"/>
    <w:pPr>
      <w:keepNext/>
      <w:keepLines/>
      <w:spacing w:before="260" w:after="260" w:line="360" w:lineRule="auto"/>
      <w:ind w:left="480" w:leftChars="200"/>
      <w:jc w:val="left"/>
      <w:outlineLvl w:val="2"/>
    </w:pPr>
    <w:rPr>
      <w:rFonts w:ascii="Calibri" w:hAnsi="Calibri" w:eastAsia="仿宋_GB2312" w:cs="宋体"/>
      <w:b/>
      <w:sz w:val="44"/>
    </w:rPr>
  </w:style>
  <w:style w:type="paragraph" w:styleId="6">
    <w:name w:val="heading 4"/>
    <w:basedOn w:val="1"/>
    <w:next w:val="1"/>
    <w:autoRedefine/>
    <w:semiHidden/>
    <w:unhideWhenUsed/>
    <w:qFormat/>
    <w:uiPriority w:val="0"/>
    <w:pPr>
      <w:keepNext/>
      <w:keepLines/>
      <w:spacing w:before="100" w:beforeLines="100" w:after="100" w:afterLines="100" w:line="310" w:lineRule="exact"/>
      <w:jc w:val="left"/>
      <w:outlineLvl w:val="3"/>
    </w:pPr>
    <w:rPr>
      <w:rFonts w:ascii="Arial" w:hAnsi="Arial" w:eastAsia="黑体" w:cs="Times New Roman"/>
      <w:bCs/>
      <w:sz w:val="24"/>
      <w:szCs w:val="21"/>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autoRedefine/>
    <w:qFormat/>
    <w:uiPriority w:val="0"/>
    <w:pPr>
      <w:ind w:firstLine="420" w:firstLineChars="200"/>
    </w:pPr>
    <w:rPr>
      <w:rFonts w:ascii="Times New Roman" w:hAnsi="Times New Roman" w:eastAsia="仿宋_GB2312"/>
      <w:sz w:val="32"/>
    </w:rPr>
  </w:style>
  <w:style w:type="paragraph" w:styleId="7">
    <w:name w:val="Body Text"/>
    <w:basedOn w:val="1"/>
    <w:autoRedefine/>
    <w:qFormat/>
    <w:uiPriority w:val="0"/>
    <w:pPr>
      <w:spacing w:after="120" w:afterLines="0" w:afterAutospacing="0"/>
    </w:pPr>
  </w:style>
  <w:style w:type="paragraph" w:styleId="8">
    <w:name w:val="Plain Text"/>
    <w:basedOn w:val="1"/>
    <w:autoRedefine/>
    <w:qFormat/>
    <w:uiPriority w:val="0"/>
    <w:rPr>
      <w:rFonts w:ascii="宋体" w:hAnsi="Courier New"/>
    </w:rPr>
  </w:style>
  <w:style w:type="character" w:customStyle="1" w:styleId="11">
    <w:name w:val="标题 3 Char"/>
    <w:link w:val="5"/>
    <w:autoRedefine/>
    <w:qFormat/>
    <w:uiPriority w:val="0"/>
    <w:rPr>
      <w:rFonts w:ascii="Calibri" w:hAnsi="Calibri" w:eastAsia="仿宋_GB2312" w:cs="宋体"/>
      <w:b/>
      <w:sz w:val="44"/>
    </w:rPr>
  </w:style>
  <w:style w:type="character" w:customStyle="1" w:styleId="12">
    <w:name w:val="标题 2 Char"/>
    <w:link w:val="4"/>
    <w:autoRedefine/>
    <w:qFormat/>
    <w:locked/>
    <w:uiPriority w:val="0"/>
    <w:rPr>
      <w:rFonts w:ascii="Calibri Light" w:hAnsi="Calibri Light" w:eastAsia="黑体" w:cs="宋体"/>
      <w:bCs/>
      <w:sz w:val="44"/>
      <w:szCs w:val="32"/>
    </w:rPr>
  </w:style>
  <w:style w:type="character" w:customStyle="1" w:styleId="13">
    <w:name w:val="标题 1 Char"/>
    <w:link w:val="3"/>
    <w:autoRedefine/>
    <w:qFormat/>
    <w:uiPriority w:val="0"/>
    <w:rPr>
      <w:rFonts w:ascii="黑体" w:hAnsi="黑体" w:eastAsia="黑体"/>
      <w:bCs/>
      <w:kern w:val="36"/>
      <w:sz w:val="32"/>
      <w:szCs w:val="36"/>
    </w:rPr>
  </w:style>
  <w:style w:type="paragraph" w:customStyle="1" w:styleId="14">
    <w:name w:val="WPSOffice手动目录 1"/>
    <w:autoRedefine/>
    <w:qFormat/>
    <w:uiPriority w:val="0"/>
    <w:pPr>
      <w:spacing w:before="50" w:beforeLines="50" w:line="360" w:lineRule="auto"/>
      <w:ind w:leftChars="0"/>
    </w:pPr>
    <w:rPr>
      <w:rFonts w:ascii="Times New Roman" w:hAnsi="Times New Roman" w:eastAsia="宋体" w:cs="Times New Roman"/>
      <w:sz w:val="24"/>
      <w:szCs w:val="20"/>
    </w:rPr>
  </w:style>
  <w:style w:type="paragraph" w:customStyle="1" w:styleId="15">
    <w:name w:val="WPSOffice手动目录 2"/>
    <w:autoRedefine/>
    <w:qFormat/>
    <w:uiPriority w:val="0"/>
    <w:pPr>
      <w:spacing w:line="360" w:lineRule="auto"/>
      <w:ind w:leftChars="200"/>
    </w:pPr>
    <w:rPr>
      <w:rFonts w:ascii="Times New Roman" w:hAnsi="Times New Roman" w:eastAsia="宋体" w:cstheme="minorBidi"/>
      <w:sz w:val="24"/>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1091</Words>
  <Characters>1181</Characters>
  <Lines>0</Lines>
  <Paragraphs>0</Paragraphs>
  <TotalTime>0</TotalTime>
  <ScaleCrop>false</ScaleCrop>
  <LinksUpToDate>false</LinksUpToDate>
  <CharactersWithSpaces>1190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2022-07-25T02:35:00Z</dcterms:created>
  <dc:creator>戴涛</dc:creator>
  <cp:lastModifiedBy>Wait forever</cp:lastModifiedBy>
  <cp:lastPrinted>2024-04-12T01:33:00Z</cp:lastPrinted>
  <dcterms:modified xsi:type="dcterms:W3CDTF">2026-02-10T03:24:17Z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C312FA8B29004608B12BEFC95FA441E5</vt:lpwstr>
  </property>
  <property fmtid="{D5CDD505-2E9C-101B-9397-08002B2CF9AE}" pid="4" name="KSOTemplateDocerSaveRecord">
    <vt:lpwstr>eyJoZGlkIjoiOWM5MzQxZDI4ODkwNzY4N2VjYmY4MWNmZmNkYzY2ZGMiLCJ1c2VySWQiOiI0NDgwMzI3MzAifQ==</vt:lpwstr>
  </property>
</Properties>
</file>